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1628" w:sz="1"/>
              <w:left w:val="single" w:color="0A1628" w:sz="1"/>
              <w:bottom w:val="single" w:color="0A1628" w:sz="1"/>
              <w:right w:val="single" w:color="0A1628" w:sz="1"/>
            </w:tcBorders>
            <w:shd w:fill="0A1628" w:val="clear"/>
            <w:tcMar>
              <w:top w:type="dxa" w:w="120"/>
              <w:left w:type="dxa" w:w="160"/>
              <w:bottom w:type="dxa" w:w="120"/>
              <w:right w:type="dxa" w:w="160"/>
            </w:tcMar>
          </w:tcPr>
          <w:p>
            <w:pPr>
              <w:spacing w:after="0" w:before="60"/>
            </w:pPr>
          </w:p>
          <w:p>
            <w:pPr>
              <w:jc w:val="center"/>
            </w:pPr>
            <w:r>
              <w:rPr>
                <w:rFonts w:ascii="Courier New" w:cs="Courier New" w:eastAsia="Courier New" w:hAnsi="Courier New"/>
                <w:color w:val="A0C8D8"/>
                <w:spacing w:val="80"/>
                <w:sz w:val="18"/>
                <w:szCs w:val="18"/>
              </w:rPr>
              <w:t xml:space="preserve">MOLECULAR LAUNDRY LAB</w:t>
            </w:r>
          </w:p>
          <w:p>
            <w:pPr>
              <w:spacing w:after="0" w:before="20"/>
            </w:pPr>
          </w:p>
          <w:p>
            <w:pPr>
              <w:jc w:val="center"/>
            </w:pPr>
            <w:r>
              <w:rPr>
                <w:rFonts w:ascii="Arial" w:cs="Arial" w:eastAsia="Arial" w:hAnsi="Arial"/>
                <w:b/>
                <w:bCs/>
                <w:color w:val="FFFFFF"/>
                <w:sz w:val="52"/>
                <w:szCs w:val="52"/>
              </w:rPr>
              <w:t xml:space="preserve">Research Reference Guide</w:t>
            </w:r>
          </w:p>
          <w:p>
            <w:pPr>
              <w:spacing w:after="0" w:before="20"/>
            </w:pPr>
          </w:p>
          <w:p>
            <w:pPr>
              <w:jc w:val="center"/>
            </w:pPr>
            <w:r>
              <w:rPr>
                <w:rFonts w:ascii="Arial" w:cs="Arial" w:eastAsia="Arial" w:hAnsi="Arial"/>
                <w:i/>
                <w:iCs/>
                <w:color w:val="7AAABB"/>
                <w:sz w:val="24"/>
                <w:szCs w:val="24"/>
              </w:rPr>
              <w:t xml:space="preserve">Detergent Market  ·  Natural Alternatives  ·  Borax Deep Dive</w:t>
            </w:r>
          </w:p>
          <w:p>
            <w:pPr>
              <w:spacing w:after="0" w:before="60"/>
            </w:pPr>
          </w:p>
        </w:tc>
      </w:tr>
    </w:tbl>
    <w:p>
      <w:pPr>
        <w:spacing w:after="0" w:before="200"/>
      </w:pPr>
    </w:p>
    <w:p>
      <w:pPr>
        <w:spacing w:after="80" w:before="80"/>
      </w:pPr>
      <w:r>
        <w:rPr>
          <w:rFonts w:ascii="Arial" w:cs="Arial" w:eastAsia="Arial" w:hAnsi="Arial"/>
          <w:i/>
          <w:iCs/>
          <w:color w:val="333344"/>
          <w:sz w:val="22"/>
          <w:szCs w:val="22"/>
        </w:rPr>
        <w:t xml:space="preserve">This reference compiles peer-reviewed chemistry, INCI ingredient analysis, and regulatory data into a practical guide for the laundry decisions that actually matter. Every major brand is broken down by active ingredients. Natural alternatives receive an honest verdict based on their chemistry, not their marketing. Borax is given the nuanced treatment it rarely receives.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7800" w:sz="1"/>
              <w:left w:val="single" w:color="B07800" w:sz="1"/>
              <w:bottom w:val="single" w:color="B07800" w:sz="1"/>
              <w:right w:val="single" w:color="B07800" w:sz="1"/>
            </w:tcBorders>
            <w:shd w:fill="FFF8E6" w:val="clear"/>
            <w:tcMar>
              <w:top w:type="dxa" w:w="120"/>
              <w:left w:type="dxa" w:w="160"/>
              <w:bottom w:type="dxa" w:w="120"/>
              <w:right w:type="dxa" w:w="160"/>
            </w:tcMar>
          </w:tcPr>
          <w:p>
            <w:r>
              <w:rPr>
                <w:rFonts w:ascii="Arial" w:cs="Arial" w:eastAsia="Arial" w:hAnsi="Arial"/>
                <w:b/>
                <w:bCs/>
                <w:color w:val="B07800"/>
                <w:sz w:val="20"/>
                <w:szCs w:val="20"/>
              </w:rPr>
              <w:t xml:space="preserve">Accuracy Note:</w:t>
            </w:r>
          </w:p>
          <w:p>
            <w:pPr>
              <w:spacing w:after="0" w:before="40"/>
            </w:pPr>
          </w:p>
          <w:p>
            <w:pPr>
              <w:spacing w:after="80" w:before="80"/>
            </w:pPr>
            <w:r>
              <w:rPr>
                <w:rFonts w:ascii="Arial" w:cs="Arial" w:eastAsia="Arial" w:hAnsi="Arial"/>
                <w:color w:val="333344"/>
                <w:sz w:val="22"/>
                <w:szCs w:val="22"/>
              </w:rPr>
              <w:t xml:space="preserve">The Kirkland/Henkel connection is widely reported by independent testing but not officially confirmed by Costco or Henkel. All enzyme scores are comparative estimates from available INCI data, not official laboratory measurements. Reframe these as estimates in published work.</w:t>
            </w:r>
          </w:p>
        </w:tc>
      </w:tr>
    </w:tbl>
    <w:p>
      <w:pPr>
        <w:pBdr>
          <w:bottom w:val="single" w:color="E0E4EC" w:sz="4"/>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40"/>
        <w:gridCol w:w="8520"/>
      </w:tblGrid>
      <w:tr>
        <w:tc>
          <w:tcPr>
            <w:tcW w:type="dxa" w:w="840"/>
            <w:tcBorders>
              <w:top w:val="none" w:color="FFFFFF" w:sz="0"/>
              <w:left w:val="none" w:color="FFFFFF" w:sz="0"/>
              <w:bottom w:val="none" w:color="FFFFFF" w:sz="0"/>
              <w:right w:val="none" w:color="FFFFFF" w:sz="0"/>
            </w:tcBorders>
            <w:shd w:fill="0099BB" w:val="clear"/>
            <w:tcMar>
              <w:top w:type="dxa" w:w="160"/>
              <w:left w:type="dxa" w:w="120"/>
              <w:bottom w:type="dxa" w:w="160"/>
              <w:right w:type="dxa" w:w="120"/>
            </w:tcMar>
            <w:vAlign w:val="center"/>
          </w:tcPr>
          <w:p>
            <w:pPr>
              <w:jc w:val="center"/>
            </w:pPr>
            <w:r>
              <w:rPr>
                <w:rFonts w:ascii="Courier New" w:cs="Courier New" w:eastAsia="Courier New" w:hAnsi="Courier New"/>
                <w:b/>
                <w:bCs/>
                <w:color w:val="FFFFFF"/>
                <w:sz w:val="22"/>
                <w:szCs w:val="22"/>
              </w:rPr>
              <w:t xml:space="preserve">A</w:t>
            </w:r>
          </w:p>
        </w:tc>
        <w:tc>
          <w:tcPr>
            <w:tcW w:type="dxa" w:w="8520"/>
            <w:tcBorders>
              <w:top w:val="none" w:color="FFFFFF" w:sz="0"/>
              <w:left w:val="none" w:color="FFFFFF" w:sz="0"/>
              <w:bottom w:val="none" w:color="FFFFFF" w:sz="0"/>
              <w:right w:val="none" w:color="FFFFFF" w:sz="0"/>
            </w:tcBorders>
            <w:shd w:fill="0A1628" w:val="clear"/>
            <w:tcMar>
              <w:top w:type="dxa" w:w="160"/>
              <w:left w:type="dxa" w:w="200"/>
              <w:bottom w:type="dxa" w:w="160"/>
              <w:right w:type="dxa" w:w="160"/>
            </w:tcMar>
            <w:vAlign w:val="center"/>
          </w:tcPr>
          <w:p>
            <w:r>
              <w:rPr>
                <w:rFonts w:ascii="Arial" w:cs="Arial" w:eastAsia="Arial" w:hAnsi="Arial"/>
                <w:b/>
                <w:bCs/>
                <w:color w:val="FFFFFF"/>
                <w:sz w:val="28"/>
                <w:szCs w:val="28"/>
              </w:rPr>
              <w:t xml:space="preserve">The Detergent Market Decoded</w:t>
            </w:r>
          </w:p>
          <w:p>
            <w:r>
              <w:rPr>
                <w:rFonts w:ascii="Arial" w:cs="Arial" w:eastAsia="Arial" w:hAnsi="Arial"/>
                <w:i/>
                <w:iCs/>
                <w:color w:val="A0B4CC"/>
                <w:sz w:val="18"/>
                <w:szCs w:val="18"/>
              </w:rPr>
              <w:t xml:space="preserve">Active ingredients, enzyme payloads, and the gap between marketing and chemistry</w:t>
            </w:r>
          </w:p>
        </w:tc>
      </w:tr>
    </w:tbl>
    <w:p>
      <w:pPr>
        <w:spacing w:after="0" w:before="120"/>
      </w:pPr>
    </w:p>
    <w:p>
      <w:pPr>
        <w:spacing w:after="80" w:before="80"/>
      </w:pPr>
      <w:r>
        <w:rPr>
          <w:rFonts w:ascii="Arial" w:cs="Arial" w:eastAsia="Arial" w:hAnsi="Arial"/>
          <w:color w:val="333344"/>
          <w:sz w:val="22"/>
          <w:szCs w:val="22"/>
        </w:rPr>
        <w:t xml:space="preserve">Every detergent bottle on the shelf competes with the same language: deep clean, hygienic, fresh scent, plant-based power. Strip the marketing and what remains is a list of surfactant types, enzyme concentrations, pH builders, and optical tricks.</w:t>
      </w:r>
    </w:p>
    <w:p>
      <w:pPr>
        <w:spacing w:after="0" w:before="80"/>
      </w:pPr>
    </w:p>
    <w:p>
      <w:pPr>
        <w:pStyle w:val="Heading3"/>
        <w:spacing w:after="60" w:before="180"/>
      </w:pPr>
      <w:r>
        <w:rPr>
          <w:rFonts w:ascii="Arial" w:cs="Arial" w:eastAsia="Arial" w:hAnsi="Arial"/>
          <w:b/>
          <w:bCs/>
          <w:color w:val="0099BB"/>
          <w:sz w:val="24"/>
          <w:szCs w:val="24"/>
        </w:rPr>
        <w:t xml:space="preserve">Brand-by-Brand Analysis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200"/>
        <w:gridCol w:w="1100"/>
        <w:gridCol w:w="900"/>
        <w:gridCol w:w="2060"/>
        <w:gridCol w:w="1600"/>
      </w:tblGrid>
      <w:tr>
        <w:tc>
          <w:tcPr>
            <w:tcW w:type="dxa" w:w="15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BRAND</w:t>
            </w:r>
          </w:p>
        </w:tc>
        <w:tc>
          <w:tcPr>
            <w:tcW w:type="dxa" w:w="12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MANUFACTURER</w:t>
            </w:r>
          </w:p>
        </w:tc>
        <w:tc>
          <w:tcPr>
            <w:tcW w:type="dxa" w:w="11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COST/LOAD (CAD)</w:t>
            </w:r>
          </w:p>
        </w:tc>
        <w:tc>
          <w:tcPr>
            <w:tcW w:type="dxa" w:w="9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ENZYME SCORE</w:t>
            </w:r>
          </w:p>
        </w:tc>
        <w:tc>
          <w:tcPr>
            <w:tcW w:type="dxa" w:w="206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PRIMARY SURFACTANTS</w:t>
            </w:r>
          </w:p>
        </w:tc>
        <w:tc>
          <w:tcPr>
            <w:tcW w:type="dxa" w:w="16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VERDICT</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CC4400"/>
                <w:sz w:val="20"/>
                <w:szCs w:val="20"/>
              </w:rPr>
              <w:t xml:space="preserve">Kirkland Ultra Clean</w:t>
            </w:r>
          </w:p>
        </w:tc>
        <w:tc>
          <w:tcPr>
            <w:tcW w:type="dxa" w:w="12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667788"/>
                <w:sz w:val="20"/>
                <w:szCs w:val="20"/>
              </w:rPr>
              <w:t xml:space="preserve">Henkel (reported)</w:t>
            </w:r>
          </w:p>
        </w:tc>
        <w:tc>
          <w:tcPr>
            <w:tcW w:type="dxa" w:w="11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$0.12–0.18</w:t>
            </w:r>
          </w:p>
        </w:tc>
        <w:tc>
          <w:tcPr>
            <w:tcW w:type="dxa" w:w="9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9/10</w:t>
            </w:r>
          </w:p>
        </w:tc>
        <w:tc>
          <w:tcPr>
            <w:tcW w:type="dxa" w:w="20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LAS + AES + Nonionic</w:t>
            </w:r>
          </w:p>
        </w:tc>
        <w:tc>
          <w:tcPr>
            <w:tcW w:type="dxa" w:w="16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BEST VALUE</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333344"/>
                <w:sz w:val="20"/>
                <w:szCs w:val="20"/>
              </w:rPr>
              <w:t xml:space="preserve">Arm &amp; Hammer</w:t>
            </w:r>
          </w:p>
        </w:tc>
        <w:tc>
          <w:tcPr>
            <w:tcW w:type="dxa" w:w="12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Church &amp; Dwight</w:t>
            </w:r>
          </w:p>
        </w:tc>
        <w:tc>
          <w:tcPr>
            <w:tcW w:type="dxa" w:w="11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$0.15–0.22</w:t>
            </w:r>
          </w:p>
        </w:tc>
        <w:tc>
          <w:tcPr>
            <w:tcW w:type="dxa" w:w="9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4/10</w:t>
            </w:r>
          </w:p>
        </w:tc>
        <w:tc>
          <w:tcPr>
            <w:tcW w:type="dxa" w:w="20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LAS + mild nonionic</w:t>
            </w:r>
          </w:p>
        </w:tc>
        <w:tc>
          <w:tcPr>
            <w:tcW w:type="dxa" w:w="16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0099BB"/>
                <w:sz w:val="20"/>
                <w:szCs w:val="20"/>
              </w:rPr>
              <w:t xml:space="preserve">OK</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All Free &amp; Clear</w:t>
            </w:r>
          </w:p>
        </w:tc>
        <w:tc>
          <w:tcPr>
            <w:tcW w:type="dxa" w:w="12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Henkel</w:t>
            </w:r>
          </w:p>
        </w:tc>
        <w:tc>
          <w:tcPr>
            <w:tcW w:type="dxa" w:w="11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$0.22–0.30</w:t>
            </w:r>
          </w:p>
        </w:tc>
        <w:tc>
          <w:tcPr>
            <w:tcW w:type="dxa" w:w="9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6/10</w:t>
            </w:r>
          </w:p>
        </w:tc>
        <w:tc>
          <w:tcPr>
            <w:tcW w:type="dxa" w:w="20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AES + Nonionic (mild)</w:t>
            </w:r>
          </w:p>
        </w:tc>
        <w:tc>
          <w:tcPr>
            <w:tcW w:type="dxa" w:w="16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0099BB"/>
                <w:sz w:val="20"/>
                <w:szCs w:val="20"/>
              </w:rPr>
              <w:t xml:space="preserve">SENSITIVE</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888899"/>
                <w:sz w:val="20"/>
                <w:szCs w:val="20"/>
              </w:rPr>
              <w:t xml:space="preserve">Gain Original</w:t>
            </w:r>
          </w:p>
        </w:tc>
        <w:tc>
          <w:tcPr>
            <w:tcW w:type="dxa" w:w="12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P&amp;G</w:t>
            </w:r>
          </w:p>
        </w:tc>
        <w:tc>
          <w:tcPr>
            <w:tcW w:type="dxa" w:w="11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$0.25–0.38</w:t>
            </w:r>
          </w:p>
        </w:tc>
        <w:tc>
          <w:tcPr>
            <w:tcW w:type="dxa" w:w="9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AA2200"/>
                <w:sz w:val="20"/>
                <w:szCs w:val="20"/>
              </w:rPr>
              <w:t xml:space="preserve">3/10</w:t>
            </w:r>
          </w:p>
        </w:tc>
        <w:tc>
          <w:tcPr>
            <w:tcW w:type="dxa" w:w="20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LAS + AES</w:t>
            </w:r>
          </w:p>
        </w:tc>
        <w:tc>
          <w:tcPr>
            <w:tcW w:type="dxa" w:w="16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AA2200"/>
                <w:sz w:val="20"/>
                <w:szCs w:val="20"/>
              </w:rPr>
              <w:t xml:space="preserve">SKIP</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Tide Original</w:t>
            </w:r>
          </w:p>
        </w:tc>
        <w:tc>
          <w:tcPr>
            <w:tcW w:type="dxa" w:w="12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P&amp;G</w:t>
            </w:r>
          </w:p>
        </w:tc>
        <w:tc>
          <w:tcPr>
            <w:tcW w:type="dxa" w:w="11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$0.28–0.40</w:t>
            </w:r>
          </w:p>
        </w:tc>
        <w:tc>
          <w:tcPr>
            <w:tcW w:type="dxa" w:w="9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7/10</w:t>
            </w:r>
          </w:p>
        </w:tc>
        <w:tc>
          <w:tcPr>
            <w:tcW w:type="dxa" w:w="20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LAS + AES + Nonionic</w:t>
            </w:r>
          </w:p>
        </w:tc>
        <w:tc>
          <w:tcPr>
            <w:tcW w:type="dxa" w:w="16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5A8A00"/>
                <w:sz w:val="20"/>
                <w:szCs w:val="20"/>
              </w:rPr>
              <w:t xml:space="preserve">WORTH IT</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Tide Hygienic Clean</w:t>
            </w:r>
          </w:p>
        </w:tc>
        <w:tc>
          <w:tcPr>
            <w:tcW w:type="dxa" w:w="12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P&amp;G</w:t>
            </w:r>
          </w:p>
        </w:tc>
        <w:tc>
          <w:tcPr>
            <w:tcW w:type="dxa" w:w="11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$0.35–0.48</w:t>
            </w:r>
          </w:p>
        </w:tc>
        <w:tc>
          <w:tcPr>
            <w:tcW w:type="dxa" w:w="9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9/10</w:t>
            </w:r>
          </w:p>
        </w:tc>
        <w:tc>
          <w:tcPr>
            <w:tcW w:type="dxa" w:w="20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LAS + AES + Nonionic</w:t>
            </w:r>
          </w:p>
        </w:tc>
        <w:tc>
          <w:tcPr>
            <w:tcW w:type="dxa" w:w="16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5A8A00"/>
                <w:sz w:val="20"/>
                <w:szCs w:val="20"/>
              </w:rPr>
              <w:t xml:space="preserve">WORTH IT</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Persil ProClean</w:t>
            </w:r>
          </w:p>
        </w:tc>
        <w:tc>
          <w:tcPr>
            <w:tcW w:type="dxa" w:w="12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Henkel</w:t>
            </w:r>
          </w:p>
        </w:tc>
        <w:tc>
          <w:tcPr>
            <w:tcW w:type="dxa" w:w="11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$0.38–0.52</w:t>
            </w:r>
          </w:p>
        </w:tc>
        <w:tc>
          <w:tcPr>
            <w:tcW w:type="dxa" w:w="9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10/10</w:t>
            </w:r>
          </w:p>
        </w:tc>
        <w:tc>
          <w:tcPr>
            <w:tcW w:type="dxa" w:w="20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LAS + AES + Alcohol Ethoxylate</w:t>
            </w:r>
          </w:p>
        </w:tc>
        <w:tc>
          <w:tcPr>
            <w:tcW w:type="dxa" w:w="16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5A8A00"/>
                <w:sz w:val="20"/>
                <w:szCs w:val="20"/>
              </w:rPr>
              <w:t xml:space="preserve">WORTH IT</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Seventh Generation</w:t>
            </w:r>
          </w:p>
        </w:tc>
        <w:tc>
          <w:tcPr>
            <w:tcW w:type="dxa" w:w="12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Unilever</w:t>
            </w:r>
          </w:p>
        </w:tc>
        <w:tc>
          <w:tcPr>
            <w:tcW w:type="dxa" w:w="11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$0.40–0.58</w:t>
            </w:r>
          </w:p>
        </w:tc>
        <w:tc>
          <w:tcPr>
            <w:tcW w:type="dxa" w:w="9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5/10</w:t>
            </w:r>
          </w:p>
        </w:tc>
        <w:tc>
          <w:tcPr>
            <w:tcW w:type="dxa" w:w="20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APG (plant-derived)</w:t>
            </w:r>
          </w:p>
        </w:tc>
        <w:tc>
          <w:tcPr>
            <w:tcW w:type="dxa" w:w="16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7030A0"/>
                <w:sz w:val="20"/>
                <w:szCs w:val="20"/>
              </w:rPr>
              <w:t xml:space="preserve">ECO PICK</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Dirty Labs</w:t>
            </w:r>
          </w:p>
        </w:tc>
        <w:tc>
          <w:tcPr>
            <w:tcW w:type="dxa" w:w="12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Dirty Labs Inc.</w:t>
            </w:r>
          </w:p>
        </w:tc>
        <w:tc>
          <w:tcPr>
            <w:tcW w:type="dxa" w:w="11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$0.55–0.80</w:t>
            </w:r>
          </w:p>
        </w:tc>
        <w:tc>
          <w:tcPr>
            <w:tcW w:type="dxa" w:w="9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7030A0"/>
                <w:sz w:val="20"/>
                <w:szCs w:val="20"/>
              </w:rPr>
              <w:t xml:space="preserve">10/10 + DNAse</w:t>
            </w:r>
          </w:p>
        </w:tc>
        <w:tc>
          <w:tcPr>
            <w:tcW w:type="dxa" w:w="20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Bio-derived blend</w:t>
            </w:r>
          </w:p>
        </w:tc>
        <w:tc>
          <w:tcPr>
            <w:tcW w:type="dxa" w:w="16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7030A0"/>
                <w:sz w:val="20"/>
                <w:szCs w:val="20"/>
              </w:rPr>
              <w:t xml:space="preserve">ACTIVEWEAR</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4400" w:sz="1"/>
              <w:left w:val="single" w:color="CC4400" w:sz="1"/>
              <w:bottom w:val="single" w:color="CC4400" w:sz="1"/>
              <w:right w:val="single" w:color="CC4400" w:sz="1"/>
            </w:tcBorders>
            <w:shd w:fill="FFF8E6" w:val="clear"/>
            <w:tcMar>
              <w:top w:type="dxa" w:w="120"/>
              <w:left w:type="dxa" w:w="160"/>
              <w:bottom w:type="dxa" w:w="120"/>
              <w:right w:type="dxa" w:w="160"/>
            </w:tcMar>
          </w:tcPr>
          <w:p>
            <w:r>
              <w:rPr>
                <w:rFonts w:ascii="Arial" w:cs="Arial" w:eastAsia="Arial" w:hAnsi="Arial"/>
                <w:b/>
                <w:bCs/>
                <w:color w:val="CC4400"/>
                <w:sz w:val="20"/>
                <w:szCs w:val="20"/>
              </w:rPr>
              <w:t xml:space="preserve">The Kirkland/Costco Secret:</w:t>
            </w:r>
          </w:p>
          <w:p>
            <w:pPr>
              <w:spacing w:after="0" w:before="40"/>
            </w:pPr>
          </w:p>
          <w:p>
            <w:pPr>
              <w:spacing w:after="80" w:before="80"/>
            </w:pPr>
            <w:r>
              <w:rPr>
                <w:rFonts w:ascii="Arial" w:cs="Arial" w:eastAsia="Arial" w:hAnsi="Arial"/>
                <w:color w:val="333344"/>
                <w:sz w:val="22"/>
                <w:szCs w:val="22"/>
              </w:rPr>
              <w:t xml:space="preserve">Multiple independent laboratory analyses show Kirkland Signature Ultra Clean performing at near-Persil levels across enzyme activity benchmarks, surfactant concentration, and hard water performance. The widespread consumer consensus is that it is manufactured by Henkel. This has not been officially confirmed. At $0.12–0.18 per load vs Persil’s $0.38–0.52, a Costco membership pays for itself on detergent alone within a few months. Rephrase as "widely reported" in published work.</w:t>
            </w:r>
          </w:p>
        </w:tc>
      </w:tr>
    </w:tbl>
    <w:p>
      <w:pPr>
        <w:spacing w:after="0" w:before="120"/>
      </w:pPr>
    </w:p>
    <w:p>
      <w:pPr>
        <w:pStyle w:val="Heading3"/>
        <w:spacing w:after="60" w:before="180"/>
      </w:pPr>
      <w:r>
        <w:rPr>
          <w:rFonts w:ascii="Arial" w:cs="Arial" w:eastAsia="Arial" w:hAnsi="Arial"/>
          <w:b/>
          <w:bCs/>
          <w:color w:val="0099BB"/>
          <w:sz w:val="24"/>
          <w:szCs w:val="24"/>
        </w:rPr>
        <w:t xml:space="preserve">Key Ingredient Deep Dive</w:t>
      </w:r>
    </w:p>
    <w:p>
      <w:pPr>
        <w:spacing w:after="80" w:before="80"/>
      </w:pPr>
      <w:r>
        <w:rPr>
          <w:rFonts w:ascii="Arial" w:cs="Arial" w:eastAsia="Arial" w:hAnsi="Arial"/>
          <w:color w:val="333344"/>
          <w:sz w:val="22"/>
          <w:szCs w:val="22"/>
        </w:rPr>
        <w:t xml:space="preserve">All high-performing detergents combine two surfactant classes: anionic (LAS — linear alkylbenzene sulfonate) for inorganic dirt and mud, and non-ionic (alcohol ethoxylates) for body oils, grease, and cosmetics. The best liquid detergents, Persil and Tide Hygienic, carry both in meaningful concentrations alongside a full enzyme cocktail.</w:t>
      </w:r>
    </w:p>
    <w:p>
      <w:pPr>
        <w:spacing w:after="80" w:before="80"/>
      </w:pPr>
      <w:r>
        <w:rPr>
          <w:rFonts w:ascii="Arial" w:cs="Arial" w:eastAsia="Arial" w:hAnsi="Arial"/>
          <w:color w:val="333344"/>
          <w:sz w:val="22"/>
          <w:szCs w:val="22"/>
        </w:rPr>
        <w:t xml:space="preserve">Gain’s low enzyme score is a direct consequence of formulation space. High fragrance compound loads consume ingredient budget that competitive detergents spend on protease and lipase. The perfume temporarily masks sour milk fat odours — once it evaporates or warms, the rancid lipids return. For baby formula loads and scrap yard gear, Gain is the wrong tool entirely.</w:t>
      </w:r>
    </w:p>
    <w:p>
      <w:pPr>
        <w:pBdr>
          <w:bottom w:val="single" w:color="E0E4EC" w:sz="4"/>
        </w:pBdr>
        <w:spacing w:after="120" w:before="120"/>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40"/>
        <w:gridCol w:w="8520"/>
      </w:tblGrid>
      <w:tr>
        <w:tc>
          <w:tcPr>
            <w:tcW w:type="dxa" w:w="840"/>
            <w:tcBorders>
              <w:top w:val="none" w:color="FFFFFF" w:sz="0"/>
              <w:left w:val="none" w:color="FFFFFF" w:sz="0"/>
              <w:bottom w:val="none" w:color="FFFFFF" w:sz="0"/>
              <w:right w:val="none" w:color="FFFFFF" w:sz="0"/>
            </w:tcBorders>
            <w:shd w:fill="0099BB" w:val="clear"/>
            <w:tcMar>
              <w:top w:type="dxa" w:w="160"/>
              <w:left w:type="dxa" w:w="120"/>
              <w:bottom w:type="dxa" w:w="160"/>
              <w:right w:type="dxa" w:w="120"/>
            </w:tcMar>
            <w:vAlign w:val="center"/>
          </w:tcPr>
          <w:p>
            <w:pPr>
              <w:jc w:val="center"/>
            </w:pPr>
            <w:r>
              <w:rPr>
                <w:rFonts w:ascii="Courier New" w:cs="Courier New" w:eastAsia="Courier New" w:hAnsi="Courier New"/>
                <w:b/>
                <w:bCs/>
                <w:color w:val="FFFFFF"/>
                <w:sz w:val="22"/>
                <w:szCs w:val="22"/>
              </w:rPr>
              <w:t xml:space="preserve">B</w:t>
            </w:r>
          </w:p>
        </w:tc>
        <w:tc>
          <w:tcPr>
            <w:tcW w:type="dxa" w:w="8520"/>
            <w:tcBorders>
              <w:top w:val="none" w:color="FFFFFF" w:sz="0"/>
              <w:left w:val="none" w:color="FFFFFF" w:sz="0"/>
              <w:bottom w:val="none" w:color="FFFFFF" w:sz="0"/>
              <w:right w:val="none" w:color="FFFFFF" w:sz="0"/>
            </w:tcBorders>
            <w:shd w:fill="0A1628" w:val="clear"/>
            <w:tcMar>
              <w:top w:type="dxa" w:w="160"/>
              <w:left w:type="dxa" w:w="200"/>
              <w:bottom w:type="dxa" w:w="160"/>
              <w:right w:type="dxa" w:w="160"/>
            </w:tcMar>
            <w:vAlign w:val="center"/>
          </w:tcPr>
          <w:p>
            <w:r>
              <w:rPr>
                <w:rFonts w:ascii="Arial" w:cs="Arial" w:eastAsia="Arial" w:hAnsi="Arial"/>
                <w:b/>
                <w:bCs/>
                <w:color w:val="FFFFFF"/>
                <w:sz w:val="28"/>
                <w:szCs w:val="28"/>
              </w:rPr>
              <w:t xml:space="preserve">Natural Alternatives — Honest Verdict</w:t>
            </w:r>
          </w:p>
          <w:p>
            <w:r>
              <w:rPr>
                <w:rFonts w:ascii="Arial" w:cs="Arial" w:eastAsia="Arial" w:hAnsi="Arial"/>
                <w:i/>
                <w:iCs/>
                <w:color w:val="A0B4CC"/>
                <w:sz w:val="18"/>
                <w:szCs w:val="18"/>
              </w:rPr>
              <w:t xml:space="preserve">What the green cleaning movement gets right, and what it hides</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7800" w:sz="1"/>
              <w:left w:val="single" w:color="B07800" w:sz="1"/>
              <w:bottom w:val="single" w:color="B07800" w:sz="1"/>
              <w:right w:val="single" w:color="B07800" w:sz="1"/>
            </w:tcBorders>
            <w:shd w:fill="FFF8E6" w:val="clear"/>
            <w:tcMar>
              <w:top w:type="dxa" w:w="120"/>
              <w:left w:type="dxa" w:w="160"/>
              <w:bottom w:type="dxa" w:w="120"/>
              <w:right w:type="dxa" w:w="160"/>
            </w:tcMar>
          </w:tcPr>
          <w:p>
            <w:r>
              <w:rPr>
                <w:rFonts w:ascii="Arial" w:cs="Arial" w:eastAsia="Arial" w:hAnsi="Arial"/>
                <w:b/>
                <w:bCs/>
                <w:color w:val="B07800"/>
                <w:sz w:val="20"/>
                <w:szCs w:val="20"/>
              </w:rPr>
              <w:t xml:space="preserve">The Iron Rule:</w:t>
            </w:r>
          </w:p>
          <w:p>
            <w:pPr>
              <w:spacing w:after="0" w:before="40"/>
            </w:pPr>
          </w:p>
          <w:p>
            <w:pPr>
              <w:spacing w:after="80" w:before="80"/>
            </w:pPr>
            <w:r>
              <w:rPr>
                <w:rFonts w:ascii="Arial" w:cs="Arial" w:eastAsia="Arial" w:hAnsi="Arial"/>
                <w:color w:val="333344"/>
                <w:sz w:val="22"/>
                <w:szCs w:val="22"/>
              </w:rPr>
              <w:t xml:space="preserve">Natural does not equal effective. Synthetic does not equal harmful. Citric acid is natural and outperforms every commercial fabric softener. Castile soap is natural and will ruin Burlington laundry. OxiClean is synthetic and is one of the cleanest stain treatments available. Judge by chemistry, not origin.</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400"/>
        <w:gridCol w:w="1000"/>
        <w:gridCol w:w="5460"/>
      </w:tblGrid>
      <w:tr>
        <w:tc>
          <w:tcPr>
            <w:tcW w:type="dxa" w:w="15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PRODUCT</w:t>
            </w:r>
          </w:p>
        </w:tc>
        <w:tc>
          <w:tcPr>
            <w:tcW w:type="dxa" w:w="14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KEY CHEMISTRY</w:t>
            </w:r>
          </w:p>
        </w:tc>
        <w:tc>
          <w:tcPr>
            <w:tcW w:type="dxa" w:w="10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VERDICT</w:t>
            </w:r>
          </w:p>
        </w:tc>
        <w:tc>
          <w:tcPr>
            <w:tcW w:type="dxa" w:w="546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DETAIL</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Citric Acid (bulk)</w:t>
            </w:r>
          </w:p>
        </w:tc>
        <w:tc>
          <w:tcPr>
            <w:tcW w:type="dxa" w:w="1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C₆H₈O₇ · Tricarboxylic acid</w:t>
            </w:r>
          </w:p>
        </w:tc>
        <w:tc>
          <w:tcPr>
            <w:tcW w:type="dxa" w:w="10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EXCELLENT</w:t>
            </w:r>
          </w:p>
        </w:tc>
        <w:tc>
          <w:tcPr>
            <w:tcW w:type="dxa" w:w="54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Best rinse-cycle additive available. Chelates Ca²⁺/Mg²⁺ with 3 carboxyl groups simultaneously. Leaves zero residue. Outperforms fabric softener in every measurable way.</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0099BB"/>
                <w:sz w:val="20"/>
                <w:szCs w:val="20"/>
              </w:rPr>
              <w:t xml:space="preserve">DIY Washing Soda</w:t>
            </w:r>
          </w:p>
        </w:tc>
        <w:tc>
          <w:tcPr>
            <w:tcW w:type="dxa" w:w="1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NaHCO₃ → Na₂CO₃ (200°C)</w:t>
            </w:r>
          </w:p>
        </w:tc>
        <w:tc>
          <w:tcPr>
            <w:tcW w:type="dxa" w:w="10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0099BB"/>
                <w:sz w:val="20"/>
                <w:szCs w:val="20"/>
              </w:rPr>
              <w:t xml:space="preserve">WORKS</w:t>
            </w:r>
          </w:p>
        </w:tc>
        <w:tc>
          <w:tcPr>
            <w:tcW w:type="dxa" w:w="54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Identical chemistry to commercial washing soda. Bake baking soda at 200°C for 60 minutes. Same pH 11, same saponification mechanism.</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Sodium Percarbonate</w:t>
            </w:r>
          </w:p>
        </w:tc>
        <w:tc>
          <w:tcPr>
            <w:tcW w:type="dxa" w:w="1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Na₂CO₃·1.5H₂O₂</w:t>
            </w:r>
          </w:p>
        </w:tc>
        <w:tc>
          <w:tcPr>
            <w:tcW w:type="dxa" w:w="10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EXCELLENT</w:t>
            </w:r>
          </w:p>
        </w:tc>
        <w:tc>
          <w:tcPr>
            <w:tcW w:type="dxa" w:w="54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Technically synthetic but safest bleach chemistry. Degrades to water, CO₂, and sodium carbonate. No chlorine, no persistent residue.</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333344"/>
                <w:sz w:val="20"/>
                <w:szCs w:val="20"/>
              </w:rPr>
              <w:t xml:space="preserve">Soap Nuts</w:t>
            </w:r>
          </w:p>
        </w:tc>
        <w:tc>
          <w:tcPr>
            <w:tcW w:type="dxa" w:w="1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Saponins (natural surfactant)</w:t>
            </w:r>
          </w:p>
        </w:tc>
        <w:tc>
          <w:tcPr>
            <w:tcW w:type="dxa" w:w="10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B07800"/>
                <w:sz w:val="20"/>
                <w:szCs w:val="20"/>
              </w:rPr>
              <w:t xml:space="preserve">LIMITED</w:t>
            </w:r>
          </w:p>
        </w:tc>
        <w:tc>
          <w:tcPr>
            <w:tcW w:type="dxa" w:w="54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Real surfactant chemistry but CMC too high for heavy soils. Ineffective in cold water. No enzymes, no pH builders.</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333344"/>
                <w:sz w:val="20"/>
                <w:szCs w:val="20"/>
              </w:rPr>
              <w:t xml:space="preserve">White Vinegar</w:t>
            </w:r>
          </w:p>
        </w:tc>
        <w:tc>
          <w:tcPr>
            <w:tcW w:type="dxa" w:w="1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CH₃COOH · pH 2.4–3.4</w:t>
            </w:r>
          </w:p>
        </w:tc>
        <w:tc>
          <w:tcPr>
            <w:tcW w:type="dxa" w:w="10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B07800"/>
                <w:sz w:val="20"/>
                <w:szCs w:val="20"/>
              </w:rPr>
              <w:t xml:space="preserve">LIMITED</w:t>
            </w:r>
          </w:p>
        </w:tc>
        <w:tc>
          <w:tcPr>
            <w:tcW w:type="dxa" w:w="54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Works as rinse acid but citric acid is superior — stronger chelator, no smell, no rubber seal degradation risk with repeated use.</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AA2200"/>
                <w:sz w:val="20"/>
                <w:szCs w:val="20"/>
              </w:rPr>
              <w:t xml:space="preserve">Castile Soap</w:t>
            </w:r>
          </w:p>
        </w:tc>
        <w:tc>
          <w:tcPr>
            <w:tcW w:type="dxa" w:w="1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Saponified oils · True soap</w:t>
            </w:r>
          </w:p>
        </w:tc>
        <w:tc>
          <w:tcPr>
            <w:tcW w:type="dxa" w:w="10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AA2200"/>
                <w:sz w:val="20"/>
                <w:szCs w:val="20"/>
              </w:rPr>
              <w:t xml:space="preserve">AVOID</w:t>
            </w:r>
          </w:p>
        </w:tc>
        <w:tc>
          <w:tcPr>
            <w:tcW w:type="dxa" w:w="54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Reacts with Burlington’s Ca²⁺/Mg²⁺ forming grey insoluble lime soap that deposits on fabric. Dr. Bronner’s warns against hard-water laundry use.</w:t>
            </w:r>
          </w:p>
        </w:tc>
      </w:tr>
      <w:tr>
        <w:tc>
          <w:tcPr>
            <w:tcW w:type="dxa" w:w="15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333344"/>
                <w:sz w:val="20"/>
                <w:szCs w:val="20"/>
              </w:rPr>
              <w:t xml:space="preserve">Baking Soda alone</w:t>
            </w:r>
          </w:p>
        </w:tc>
        <w:tc>
          <w:tcPr>
            <w:tcW w:type="dxa" w:w="1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NaHCO₃ · pH 8.3</w:t>
            </w:r>
          </w:p>
        </w:tc>
        <w:tc>
          <w:tcPr>
            <w:tcW w:type="dxa" w:w="10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B07800"/>
                <w:sz w:val="20"/>
                <w:szCs w:val="20"/>
              </w:rPr>
              <w:t xml:space="preserve">BOOSTER only</w:t>
            </w:r>
          </w:p>
        </w:tc>
        <w:tc>
          <w:tcPr>
            <w:tcW w:type="dxa" w:w="546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pH 8.3 is insufficient for saponification or fiber swelling. Use as odour booster alongside real detergent only. Never a replacement.</w:t>
            </w:r>
          </w:p>
        </w:tc>
      </w:tr>
      <w:tr>
        <w:tc>
          <w:tcPr>
            <w:tcW w:type="dxa" w:w="15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888899"/>
                <w:sz w:val="20"/>
                <w:szCs w:val="20"/>
              </w:rPr>
              <w:t xml:space="preserve">Essential Oil "Detergents"</w:t>
            </w:r>
          </w:p>
        </w:tc>
        <w:tc>
          <w:tcPr>
            <w:tcW w:type="dxa" w:w="1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Terpene mixtures</w:t>
            </w:r>
          </w:p>
        </w:tc>
        <w:tc>
          <w:tcPr>
            <w:tcW w:type="dxa" w:w="10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AA2200"/>
                <w:sz w:val="20"/>
                <w:szCs w:val="20"/>
              </w:rPr>
              <w:t xml:space="preserve">USELESS</w:t>
            </w:r>
          </w:p>
        </w:tc>
        <w:tc>
          <w:tcPr>
            <w:tcW w:type="dxa" w:w="546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Zero surfactant, enzyme, or chelation activity. Tea tree antifungal effects do not survive laundry dilution. Fragrance only.</w:t>
            </w:r>
          </w:p>
        </w:tc>
      </w:tr>
    </w:tbl>
    <w:p>
      <w:pPr>
        <w:pBdr>
          <w:bottom w:val="single" w:color="E0E4EC" w:sz="4"/>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40"/>
        <w:gridCol w:w="8520"/>
      </w:tblGrid>
      <w:tr>
        <w:tc>
          <w:tcPr>
            <w:tcW w:type="dxa" w:w="840"/>
            <w:tcBorders>
              <w:top w:val="none" w:color="FFFFFF" w:sz="0"/>
              <w:left w:val="none" w:color="FFFFFF" w:sz="0"/>
              <w:bottom w:val="none" w:color="FFFFFF" w:sz="0"/>
              <w:right w:val="none" w:color="FFFFFF" w:sz="0"/>
            </w:tcBorders>
            <w:shd w:fill="0099BB" w:val="clear"/>
            <w:tcMar>
              <w:top w:type="dxa" w:w="160"/>
              <w:left w:type="dxa" w:w="120"/>
              <w:bottom w:type="dxa" w:w="160"/>
              <w:right w:type="dxa" w:w="120"/>
            </w:tcMar>
            <w:vAlign w:val="center"/>
          </w:tcPr>
          <w:p>
            <w:pPr>
              <w:jc w:val="center"/>
            </w:pPr>
            <w:r>
              <w:rPr>
                <w:rFonts w:ascii="Courier New" w:cs="Courier New" w:eastAsia="Courier New" w:hAnsi="Courier New"/>
                <w:b/>
                <w:bCs/>
                <w:color w:val="FFFFFF"/>
                <w:sz w:val="22"/>
                <w:szCs w:val="22"/>
              </w:rPr>
              <w:t xml:space="preserve">C</w:t>
            </w:r>
          </w:p>
        </w:tc>
        <w:tc>
          <w:tcPr>
            <w:tcW w:type="dxa" w:w="8520"/>
            <w:tcBorders>
              <w:top w:val="none" w:color="FFFFFF" w:sz="0"/>
              <w:left w:val="none" w:color="FFFFFF" w:sz="0"/>
              <w:bottom w:val="none" w:color="FFFFFF" w:sz="0"/>
              <w:right w:val="none" w:color="FFFFFF" w:sz="0"/>
            </w:tcBorders>
            <w:shd w:fill="0A1628" w:val="clear"/>
            <w:tcMar>
              <w:top w:type="dxa" w:w="160"/>
              <w:left w:type="dxa" w:w="200"/>
              <w:bottom w:type="dxa" w:w="160"/>
              <w:right w:type="dxa" w:w="160"/>
            </w:tcMar>
            <w:vAlign w:val="center"/>
          </w:tcPr>
          <w:p>
            <w:r>
              <w:rPr>
                <w:rFonts w:ascii="Arial" w:cs="Arial" w:eastAsia="Arial" w:hAnsi="Arial"/>
                <w:b/>
                <w:bCs/>
                <w:color w:val="FFFFFF"/>
                <w:sz w:val="28"/>
                <w:szCs w:val="28"/>
              </w:rPr>
              <w:t xml:space="preserve">Borax — The Complete Picture</w:t>
            </w:r>
          </w:p>
          <w:p>
            <w:r>
              <w:rPr>
                <w:rFonts w:ascii="Arial" w:cs="Arial" w:eastAsia="Arial" w:hAnsi="Arial"/>
                <w:i/>
                <w:iCs/>
                <w:color w:val="A0B4CC"/>
                <w:sz w:val="18"/>
                <w:szCs w:val="18"/>
              </w:rPr>
              <w:t xml:space="preserve">Na₂B₄O₇·10H₂O · pH 9.3 · The most misunderstood mineral in laundry</w:t>
            </w:r>
          </w:p>
        </w:tc>
      </w:tr>
    </w:tbl>
    <w:p>
      <w:pPr>
        <w:spacing w:after="0" w:before="120"/>
      </w:pPr>
    </w:p>
    <w:p>
      <w:pPr>
        <w:spacing w:after="80" w:before="80"/>
      </w:pPr>
      <w:r>
        <w:rPr>
          <w:rFonts w:ascii="Arial" w:cs="Arial" w:eastAsia="Arial" w:hAnsi="Arial"/>
          <w:color w:val="333344"/>
          <w:sz w:val="22"/>
          <w:szCs w:val="22"/>
        </w:rPr>
        <w:t xml:space="preserve">Borax has been on laundry shelves since 1891. It sits in an uncomfortable middle ground — marketed as natural and gentle, but classified as a reproductive toxin by European regulators. The truth requires both halves of that sentence.</w:t>
      </w:r>
    </w:p>
    <w:p>
      <w:pPr>
        <w:spacing w:after="0" w:before="80"/>
      </w:pPr>
    </w:p>
    <w:p>
      <w:pPr>
        <w:pStyle w:val="Heading3"/>
        <w:spacing w:after="60" w:before="180"/>
      </w:pPr>
      <w:r>
        <w:rPr>
          <w:rFonts w:ascii="Arial" w:cs="Arial" w:eastAsia="Arial" w:hAnsi="Arial"/>
          <w:b/>
          <w:bCs/>
          <w:color w:val="0099BB"/>
          <w:sz w:val="24"/>
          <w:szCs w:val="24"/>
        </w:rPr>
        <w:t xml:space="preserve">Dissolution Chemistry</w:t>
      </w:r>
    </w:p>
    <w:p>
      <w:pPr>
        <w:spacing w:after="80" w:before="80"/>
      </w:pPr>
      <w:r>
        <w:rPr>
          <w:rFonts w:ascii="Arial" w:cs="Arial" w:eastAsia="Arial" w:hAnsi="Arial"/>
          <w:color w:val="333344"/>
          <w:sz w:val="22"/>
          <w:szCs w:val="22"/>
        </w:rPr>
        <w:t xml:space="preserve">When borax dissolves in water, the tetraborate ion hydrolyzes into a mixture of boric acid B(OH)₃ and borate ions B(OH)₄⁻. This creates a mildly alkaline solution at approximately pH 9.3 — significantly weaker than washing soda’s pH 11, but meaningfully above neutral.</w:t>
      </w:r>
    </w:p>
    <w:p>
      <w:pPr>
        <w:spacing w:after="60" w:before="60"/>
      </w:pPr>
      <w:r>
        <w:rPr>
          <w:rFonts w:ascii="Courier New" w:cs="Courier New" w:eastAsia="Courier New" w:hAnsi="Courier New"/>
          <w:color w:val="0099BB"/>
          <w:sz w:val="20"/>
          <w:szCs w:val="20"/>
        </w:rPr>
        <w:t xml:space="preserve">B₄O₇²⁻ + 7H₂O → 2B(OH)₃ + 2B(OH)₄⁻ + 2H⁺</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2200" w:sz="1"/>
              <w:left w:val="single" w:color="AA2200" w:sz="1"/>
              <w:bottom w:val="single" w:color="AA2200" w:sz="1"/>
              <w:right w:val="single" w:color="AA2200" w:sz="1"/>
            </w:tcBorders>
            <w:shd w:fill="FFF0EC" w:val="clear"/>
            <w:tcMar>
              <w:top w:type="dxa" w:w="120"/>
              <w:left w:type="dxa" w:w="160"/>
              <w:bottom w:type="dxa" w:w="120"/>
              <w:right w:type="dxa" w:w="160"/>
            </w:tcMar>
          </w:tcPr>
          <w:p>
            <w:r>
              <w:rPr>
                <w:rFonts w:ascii="Arial" w:cs="Arial" w:eastAsia="Arial" w:hAnsi="Arial"/>
                <w:b/>
                <w:bCs/>
                <w:color w:val="AA2200"/>
                <w:sz w:val="20"/>
                <w:szCs w:val="20"/>
              </w:rPr>
              <w:t xml:space="preserve">Common Misconception to Avoid:</w:t>
            </w:r>
          </w:p>
          <w:p>
            <w:pPr>
              <w:spacing w:after="0" w:before="40"/>
            </w:pPr>
          </w:p>
          <w:p>
            <w:pPr>
              <w:spacing w:after="80" w:before="80"/>
            </w:pPr>
            <w:r>
              <w:rPr>
                <w:rFonts w:ascii="Arial" w:cs="Arial" w:eastAsia="Arial" w:hAnsi="Arial"/>
                <w:color w:val="333344"/>
                <w:sz w:val="22"/>
                <w:szCs w:val="22"/>
              </w:rPr>
              <w:t xml:space="preserve">Many laundry articles claim borax "releases hydrogen peroxide in the wash." This conflates borax (sodium tetraborate) with sodium perborate — a different compound used in older European detergent formulations. Borax does not produce meaningful H₂O₂ at laundry temperatures. Its contributions are pH buffering, mild chelation, and antifungal activity.</w:t>
            </w:r>
          </w:p>
        </w:tc>
      </w:tr>
    </w:tbl>
    <w:p>
      <w:pPr>
        <w:spacing w:after="0" w:before="120"/>
      </w:pPr>
    </w:p>
    <w:p>
      <w:pPr>
        <w:pStyle w:val="Heading3"/>
        <w:spacing w:after="60" w:before="180"/>
      </w:pPr>
      <w:r>
        <w:rPr>
          <w:rFonts w:ascii="Arial" w:cs="Arial" w:eastAsia="Arial" w:hAnsi="Arial"/>
          <w:b/>
          <w:bCs/>
          <w:color w:val="0099BB"/>
          <w:sz w:val="24"/>
          <w:szCs w:val="24"/>
        </w:rPr>
        <w:t xml:space="preserve">Borax vs Washing Soda — When to Use Which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PROPERTY</w:t>
            </w:r>
          </w:p>
        </w:tc>
        <w:tc>
          <w:tcPr>
            <w:tcW w:type="dxa" w:w="348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BORAX</w:t>
            </w:r>
          </w:p>
        </w:tc>
        <w:tc>
          <w:tcPr>
            <w:tcW w:type="dxa" w:w="3480"/>
            <w:tcBorders>
              <w:top w:val="single" w:color="0A1628" w:sz="1"/>
              <w:left w:val="single" w:color="0A1628" w:sz="1"/>
              <w:bottom w:val="single" w:color="0A1628" w:sz="1"/>
              <w:right w:val="single" w:color="0A1628" w:sz="1"/>
            </w:tcBorders>
            <w:shd w:fill="0A1628" w:val="clear"/>
            <w:tcMar>
              <w:top w:type="dxa" w:w="80"/>
              <w:left w:type="dxa" w:w="100"/>
              <w:bottom w:type="dxa" w:w="80"/>
              <w:right w:type="dxa" w:w="100"/>
            </w:tcMar>
          </w:tcPr>
          <w:p>
            <w:r>
              <w:rPr>
                <w:rFonts w:ascii="Arial" w:cs="Arial" w:eastAsia="Arial" w:hAnsi="Arial"/>
                <w:b/>
                <w:bCs/>
                <w:color w:val="FFFFFF"/>
                <w:sz w:val="18"/>
                <w:szCs w:val="18"/>
              </w:rPr>
              <w:t xml:space="preserve">WASHING SODA</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Chemical formula</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Courier New" w:cs="Courier New" w:eastAsia="Courier New" w:hAnsi="Courier New"/>
                <w:b w:val="false"/>
                <w:bCs w:val="false"/>
                <w:color w:val="B07800"/>
                <w:sz w:val="20"/>
                <w:szCs w:val="20"/>
              </w:rPr>
              <w:t xml:space="preserve">Na₂B₄O₇·10H₂O</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Courier New" w:cs="Courier New" w:eastAsia="Courier New" w:hAnsi="Courier New"/>
                <w:b w:val="false"/>
                <w:bCs w:val="false"/>
                <w:color w:val="CC4400"/>
                <w:sz w:val="20"/>
                <w:szCs w:val="20"/>
              </w:rPr>
              <w:t xml:space="preserve">Na₂CO₃</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pH in solution</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B07800"/>
                <w:sz w:val="20"/>
                <w:szCs w:val="20"/>
              </w:rPr>
              <w:t xml:space="preserve">~9.3 (mild)</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val="false"/>
                <w:bCs w:val="false"/>
                <w:color w:val="CC4400"/>
                <w:sz w:val="20"/>
                <w:szCs w:val="20"/>
              </w:rPr>
              <w:t xml:space="preserve">~11 (aggressive)</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Saponifies oils?</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AA2200"/>
                <w:sz w:val="20"/>
                <w:szCs w:val="20"/>
              </w:rPr>
              <w:t xml:space="preserve">No</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5A8A00"/>
                <w:sz w:val="20"/>
                <w:szCs w:val="20"/>
              </w:rPr>
              <w:t xml:space="preserve">Yes — pH 11 required</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Fiber swelling</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Mild</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5A8A00"/>
                <w:sz w:val="20"/>
                <w:szCs w:val="20"/>
              </w:rPr>
              <w:t xml:space="preserve">Strong (electrostatic)</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Antifungal?</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5A8A00"/>
                <w:sz w:val="20"/>
                <w:szCs w:val="20"/>
              </w:rPr>
              <w:t xml:space="preserve">Yes — disrupts fungal cell walls</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AA2200"/>
                <w:sz w:val="20"/>
                <w:szCs w:val="20"/>
              </w:rPr>
              <w:t xml:space="preserve">No</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Chelation type</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Borate (weak)</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Precipitating (forms solids)</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EU safety status</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AA2200"/>
                <w:sz w:val="20"/>
                <w:szCs w:val="20"/>
              </w:rPr>
              <w:t xml:space="preserve">Banned — Repro Toxin 1B (ECHA 2010)</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5A8A00"/>
                <w:sz w:val="20"/>
                <w:szCs w:val="20"/>
              </w:rPr>
              <w:t xml:space="preserve">Permitted in consumer products</w:t>
            </w:r>
          </w:p>
        </w:tc>
      </w:tr>
      <w:tr>
        <w:tc>
          <w:tcPr>
            <w:tcW w:type="dxa" w:w="240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Best load type</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Hard water boost, musty towels, general loads</w:t>
            </w:r>
          </w:p>
        </w:tc>
        <w:tc>
          <w:tcPr>
            <w:tcW w:type="dxa" w:w="3480"/>
            <w:tcBorders>
              <w:top w:val="single" w:color="C8D0DC" w:sz="1"/>
              <w:left w:val="single" w:color="C8D0DC" w:sz="1"/>
              <w:bottom w:val="single" w:color="C8D0DC" w:sz="1"/>
              <w:right w:val="single" w:color="C8D0DC" w:sz="1"/>
            </w:tcBorders>
            <w:shd w:fill="FFFFFF" w:val="clear"/>
            <w:tcMar>
              <w:top w:type="dxa" w:w="80"/>
              <w:left w:type="dxa" w:w="100"/>
              <w:bottom w:type="dxa" w:w="80"/>
              <w:right w:type="dxa" w:w="100"/>
            </w:tcMar>
          </w:tcPr>
          <w:p>
            <w:r>
              <w:rPr>
                <w:rFonts w:ascii="Arial" w:cs="Arial" w:eastAsia="Arial" w:hAnsi="Arial"/>
                <w:b/>
                <w:bCs/>
                <w:color w:val="333344"/>
                <w:sz w:val="20"/>
                <w:szCs w:val="20"/>
              </w:rPr>
              <w:t xml:space="preserve">Industrial grease, scrap yard, heavy cotton ONLY</w:t>
            </w:r>
          </w:p>
        </w:tc>
      </w:tr>
      <w:tr>
        <w:tc>
          <w:tcPr>
            <w:tcW w:type="dxa" w:w="240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bCs/>
                <w:color w:val="333344"/>
                <w:sz w:val="20"/>
                <w:szCs w:val="20"/>
              </w:rPr>
              <w:t xml:space="preserve">Safe for delicates?</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5A8A00"/>
                <w:sz w:val="20"/>
                <w:szCs w:val="20"/>
              </w:rPr>
              <w:t xml:space="preserve">Yes (half dose)</w:t>
            </w:r>
          </w:p>
        </w:tc>
        <w:tc>
          <w:tcPr>
            <w:tcW w:type="dxa" w:w="3480"/>
            <w:tcBorders>
              <w:top w:val="single" w:color="C8D0DC" w:sz="1"/>
              <w:left w:val="single" w:color="C8D0DC" w:sz="1"/>
              <w:bottom w:val="single" w:color="C8D0DC" w:sz="1"/>
              <w:right w:val="single" w:color="C8D0DC" w:sz="1"/>
            </w:tcBorders>
            <w:shd w:fill="F2F4F7" w:val="clear"/>
            <w:tcMar>
              <w:top w:type="dxa" w:w="80"/>
              <w:left w:type="dxa" w:w="100"/>
              <w:bottom w:type="dxa" w:w="80"/>
              <w:right w:type="dxa" w:w="100"/>
            </w:tcMar>
          </w:tcPr>
          <w:p>
            <w:r>
              <w:rPr>
                <w:rFonts w:ascii="Arial" w:cs="Arial" w:eastAsia="Arial" w:hAnsi="Arial"/>
                <w:b w:val="false"/>
                <w:bCs w:val="false"/>
                <w:color w:val="AA2200"/>
                <w:sz w:val="20"/>
                <w:szCs w:val="20"/>
              </w:rPr>
              <w:t xml:space="preserve">No</w:t>
            </w:r>
          </w:p>
        </w:tc>
      </w:tr>
    </w:tbl>
    <w:p>
      <w:pPr>
        <w:spacing w:after="0" w:before="120"/>
      </w:pPr>
    </w:p>
    <w:p>
      <w:pPr>
        <w:pStyle w:val="Heading3"/>
        <w:spacing w:after="60" w:before="180"/>
      </w:pPr>
      <w:r>
        <w:rPr>
          <w:rFonts w:ascii="Arial" w:cs="Arial" w:eastAsia="Arial" w:hAnsi="Arial"/>
          <w:b/>
          <w:bCs/>
          <w:color w:val="AA2200"/>
          <w:sz w:val="24"/>
          <w:szCs w:val="24"/>
        </w:rPr>
        <w:t xml:space="preserve">The Safety Reality</w:t>
      </w:r>
    </w:p>
    <w:p>
      <w:pPr>
        <w:spacing w:after="80" w:before="80"/>
      </w:pPr>
      <w:r>
        <w:rPr>
          <w:rFonts w:ascii="Arial" w:cs="Arial" w:eastAsia="Arial" w:hAnsi="Arial"/>
          <w:color w:val="333344"/>
          <w:sz w:val="22"/>
          <w:szCs w:val="22"/>
        </w:rPr>
        <w:t xml:space="preserve">The EU’s European Chemicals Agency classified borax as a Reproductive Toxin Category 1B in 2010, based on animal study data showing developmental and reproductive effects at high doses. This led to its ban from consumer products under the CLP regulation. This is not fearmongering — it is a regulatory determination based on toxicological data.</w:t>
      </w:r>
    </w:p>
    <w:p>
      <w:pPr>
        <w:spacing w:after="80" w:before="80"/>
      </w:pPr>
      <w:r>
        <w:rPr>
          <w:rFonts w:ascii="Arial" w:cs="Arial" w:eastAsia="Arial" w:hAnsi="Arial"/>
          <w:color w:val="333344"/>
          <w:sz w:val="22"/>
          <w:szCs w:val="22"/>
        </w:rPr>
        <w:t xml:space="preserve">The practical risk during normal adult laundry use is low. The reproductive toxicity data comes from high-dose ingestion studies. Dermal absorption through intact skin during normal laundry is minimal. The concerns are real for prolonged powder handling, inhalation, and use around children and pets.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2200" w:sz="1"/>
              <w:left w:val="single" w:color="AA2200" w:sz="1"/>
              <w:bottom w:val="single" w:color="AA2200" w:sz="1"/>
              <w:right w:val="single" w:color="AA2200" w:sz="1"/>
            </w:tcBorders>
            <w:shd w:fill="FFF0EC" w:val="clear"/>
            <w:tcMar>
              <w:top w:type="dxa" w:w="120"/>
              <w:left w:type="dxa" w:w="160"/>
              <w:bottom w:type="dxa" w:w="120"/>
              <w:right w:type="dxa" w:w="160"/>
            </w:tcMar>
          </w:tcPr>
          <w:p>
            <w:r>
              <w:rPr>
                <w:rFonts w:ascii="Arial" w:cs="Arial" w:eastAsia="Arial" w:hAnsi="Arial"/>
                <w:b/>
                <w:bCs/>
                <w:color w:val="AA2200"/>
                <w:sz w:val="20"/>
                <w:szCs w:val="20"/>
              </w:rPr>
              <w:t xml:space="preserve">Borax Safety Rules — Non-Negotiable:</w:t>
            </w:r>
          </w:p>
          <w:p>
            <w:pPr>
              <w:spacing w:after="0" w:before="40"/>
            </w:pPr>
          </w:p>
          <w:p>
            <w:pPr>
              <w:pStyle w:val="ListParagraph"/>
              <w:numPr>
                <w:ilvl w:val="0"/>
                <w:numId w:val="2"/>
              </w:numPr>
              <w:spacing w:after="60" w:before="60"/>
            </w:pPr>
            <w:r>
              <w:rPr>
                <w:rFonts w:ascii="Arial" w:cs="Arial" w:eastAsia="Arial" w:hAnsi="Arial"/>
                <w:color w:val="333344"/>
                <w:sz w:val="22"/>
                <w:szCs w:val="22"/>
              </w:rPr>
              <w:t xml:space="preserve">Wear gloves when handling the dry powder for extended periods</w:t>
            </w:r>
          </w:p>
          <w:p>
            <w:pPr>
              <w:pStyle w:val="ListParagraph"/>
              <w:numPr>
                <w:ilvl w:val="0"/>
                <w:numId w:val="2"/>
              </w:numPr>
              <w:spacing w:after="60" w:before="60"/>
            </w:pPr>
            <w:r>
              <w:rPr>
                <w:rFonts w:ascii="Arial" w:cs="Arial" w:eastAsia="Arial" w:hAnsi="Arial"/>
                <w:color w:val="333344"/>
                <w:sz w:val="22"/>
                <w:szCs w:val="22"/>
              </w:rPr>
              <w:t xml:space="preserve">Never inhale the powder — use a mask if pouring large quantities</w:t>
            </w:r>
          </w:p>
          <w:p>
            <w:pPr>
              <w:pStyle w:val="ListParagraph"/>
              <w:numPr>
                <w:ilvl w:val="0"/>
                <w:numId w:val="2"/>
              </w:numPr>
              <w:spacing w:after="60" w:before="60"/>
            </w:pPr>
            <w:r>
              <w:rPr>
                <w:rFonts w:ascii="Arial" w:cs="Arial" w:eastAsia="Arial" w:hAnsi="Arial"/>
                <w:color w:val="333344"/>
                <w:sz w:val="22"/>
                <w:szCs w:val="22"/>
              </w:rPr>
              <w:t xml:space="preserve">Keep entirely away from children and pets</w:t>
            </w:r>
          </w:p>
          <w:p>
            <w:pPr>
              <w:pStyle w:val="ListParagraph"/>
              <w:numPr>
                <w:ilvl w:val="0"/>
                <w:numId w:val="2"/>
              </w:numPr>
              <w:spacing w:after="60" w:before="60"/>
            </w:pPr>
            <w:r>
              <w:rPr>
                <w:rFonts w:ascii="Arial" w:cs="Arial" w:eastAsia="Arial" w:hAnsi="Arial"/>
                <w:color w:val="333344"/>
                <w:sz w:val="22"/>
                <w:szCs w:val="22"/>
              </w:rPr>
              <w:t xml:space="default">Do NOT use in baby laundry under any circumstances</w:t>
            </w:r>
          </w:p>
          <w:p>
            <w:pPr>
              <w:pStyle w:val="ListParagraph"/>
              <w:numPr>
                <w:ilvl w:val="0"/>
                <w:numId w:val="2"/>
              </w:numPr>
              <w:spacing w:after="60" w:before="60"/>
            </w:pPr>
            <w:r>
              <w:rPr>
                <w:rFonts w:ascii="Arial" w:cs="Arial" w:eastAsia="Arial" w:hAnsi="Arial"/>
                <w:color w:val="333344"/>
                <w:sz w:val="22"/>
                <w:szCs w:val="22"/>
              </w:rPr>
              <w:t xml:space="preserve">If in doubt about safety, washing soda covers most of the same alkalinity-building roles with a cleaner regulatory profile</w:t>
            </w:r>
          </w:p>
        </w:tc>
      </w:tr>
    </w:tbl>
    <w:p>
      <w:pPr>
        <w:pBdr>
          <w:bottom w:val="single" w:color="E0E4EC" w:sz="4"/>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40"/>
        <w:gridCol w:w="8520"/>
      </w:tblGrid>
      <w:tr>
        <w:tc>
          <w:tcPr>
            <w:tcW w:type="dxa" w:w="840"/>
            <w:tcBorders>
              <w:top w:val="none" w:color="FFFFFF" w:sz="0"/>
              <w:left w:val="none" w:color="FFFFFF" w:sz="0"/>
              <w:bottom w:val="none" w:color="FFFFFF" w:sz="0"/>
              <w:right w:val="none" w:color="FFFFFF" w:sz="0"/>
            </w:tcBorders>
            <w:shd w:fill="0099BB" w:val="clear"/>
            <w:tcMar>
              <w:top w:type="dxa" w:w="160"/>
              <w:left w:type="dxa" w:w="120"/>
              <w:bottom w:type="dxa" w:w="160"/>
              <w:right w:type="dxa" w:w="120"/>
            </w:tcMar>
            <w:vAlign w:val="center"/>
          </w:tcPr>
          <w:p>
            <w:pPr>
              <w:jc w:val="center"/>
            </w:pPr>
            <w:r>
              <w:rPr>
                <w:rFonts w:ascii="Courier New" w:cs="Courier New" w:eastAsia="Courier New" w:hAnsi="Courier New"/>
                <w:b/>
                <w:bCs/>
                <w:color w:val="FFFFFF"/>
                <w:sz w:val="22"/>
                <w:szCs w:val="22"/>
              </w:rPr>
              <w:t xml:space="preserve">Σ</w:t>
            </w:r>
          </w:p>
        </w:tc>
        <w:tc>
          <w:tcPr>
            <w:tcW w:type="dxa" w:w="8520"/>
            <w:tcBorders>
              <w:top w:val="none" w:color="FFFFFF" w:sz="0"/>
              <w:left w:val="none" w:color="FFFFFF" w:sz="0"/>
              <w:bottom w:val="none" w:color="FFFFFF" w:sz="0"/>
              <w:right w:val="none" w:color="FFFFFF" w:sz="0"/>
            </w:tcBorders>
            <w:shd w:fill="0A1628" w:val="clear"/>
            <w:tcMar>
              <w:top w:type="dxa" w:w="160"/>
              <w:left w:type="dxa" w:w="200"/>
              <w:bottom w:type="dxa" w:w="160"/>
              <w:right w:type="dxa" w:w="160"/>
            </w:tcMar>
            <w:vAlign w:val="center"/>
          </w:tcPr>
          <w:p>
            <w:r>
              <w:rPr>
                <w:rFonts w:ascii="Arial" w:cs="Arial" w:eastAsia="Arial" w:hAnsi="Arial"/>
                <w:b/>
                <w:bCs/>
                <w:color w:val="FFFFFF"/>
                <w:sz w:val="28"/>
                <w:szCs w:val="28"/>
              </w:rPr>
              <w:t xml:space="preserve">Final Verdict</w:t>
            </w:r>
          </w:p>
          <w:p>
            <w:r>
              <w:rPr>
                <w:rFonts w:ascii="Arial" w:cs="Arial" w:eastAsia="Arial" w:hAnsi="Arial"/>
                <w:i/>
                <w:iCs/>
                <w:color w:val="A0B4CC"/>
                <w:sz w:val="18"/>
                <w:szCs w:val="18"/>
              </w:rPr>
              <w:t xml:space="preserve">Everything distilled — buy this, skip this, use with eyes open</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5A8A00" w:sz="1"/>
              <w:left w:val="single" w:color="5A8A00" w:sz="1"/>
              <w:bottom w:val="single" w:color="5A8A00" w:sz="1"/>
              <w:right w:val="single" w:color="5A8A00" w:sz="1"/>
            </w:tcBorders>
            <w:shd w:fill="EEF7E0" w:val="clear"/>
            <w:tcMar>
              <w:top w:type="dxa" w:w="160"/>
              <w:left w:type="dxa" w:w="160"/>
              <w:bottom w:type="dxa" w:w="160"/>
              <w:right w:type="dxa" w:w="160"/>
            </w:tcMar>
          </w:tcPr>
          <w:p>
            <w:r>
              <w:rPr>
                <w:rFonts w:ascii="Arial" w:cs="Arial" w:eastAsia="Arial" w:hAnsi="Arial"/>
                <w:b/>
                <w:bCs/>
                <w:color w:val="5A8A00"/>
                <w:sz w:val="22"/>
                <w:szCs w:val="22"/>
              </w:rPr>
              <w:t xml:space="preserve">BUY THIS</w:t>
            </w:r>
          </w:p>
          <w:p>
            <w:pPr>
              <w:spacing w:after="0" w:before="60"/>
            </w:pPr>
          </w:p>
          <w:p>
            <w:pPr>
              <w:pStyle w:val="ListParagraph"/>
              <w:numPr>
                <w:ilvl w:val="0"/>
                <w:numId w:val="2"/>
              </w:numPr>
              <w:spacing w:after="60" w:before="60"/>
            </w:pPr>
            <w:r>
              <w:rPr>
                <w:rFonts w:ascii="Arial" w:cs="Arial" w:eastAsia="Arial" w:hAnsi="Arial"/>
                <w:color w:val="333344"/>
                <w:sz w:val="22"/>
                <w:szCs w:val="22"/>
              </w:rPr>
              <w:t xml:space="preserve">Kirkland Ultra Clean (Costco) — best value in Canadian laundry</w:t>
            </w:r>
          </w:p>
          <w:p>
            <w:pPr>
              <w:pStyle w:val="ListParagraph"/>
              <w:numPr>
                <w:ilvl w:val="0"/>
                <w:numId w:val="2"/>
              </w:numPr>
              <w:spacing w:after="60" w:before="60"/>
            </w:pPr>
            <w:r>
              <w:rPr>
                <w:rFonts w:ascii="Arial" w:cs="Arial" w:eastAsia="Arial" w:hAnsi="Arial"/>
                <w:color w:val="333344"/>
                <w:sz w:val="22"/>
                <w:szCs w:val="22"/>
              </w:rPr>
              <w:t xml:space="preserve">Persil ProClean or Tide Hygienic Clean — if no Costco</w:t>
            </w:r>
          </w:p>
          <w:p>
            <w:pPr>
              <w:pStyle w:val="ListParagraph"/>
              <w:numPr>
                <w:ilvl w:val="0"/>
                <w:numId w:val="2"/>
              </w:numPr>
              <w:spacing w:after="60" w:before="60"/>
            </w:pPr>
            <w:r>
              <w:rPr>
                <w:rFonts w:ascii="Arial" w:cs="Arial" w:eastAsia="Arial" w:hAnsi="Arial"/>
                <w:color w:val="333344"/>
                <w:sz w:val="22"/>
                <w:szCs w:val="22"/>
              </w:rPr>
              <w:t xml:space="preserve">Citric Acid — food-grade bulk from Bulk Barn</w:t>
            </w:r>
          </w:p>
          <w:p>
            <w:pPr>
              <w:pStyle w:val="ListParagraph"/>
              <w:numPr>
                <w:ilvl w:val="0"/>
                <w:numId w:val="2"/>
              </w:numPr>
              <w:spacing w:after="60" w:before="60"/>
            </w:pPr>
            <w:r>
              <w:rPr>
                <w:rFonts w:ascii="Arial" w:cs="Arial" w:eastAsia="Arial" w:hAnsi="Arial"/>
                <w:color w:val="333344"/>
                <w:sz w:val="22"/>
                <w:szCs w:val="22"/>
              </w:rPr>
              <w:t xml:space="preserve">OxiClean / Sodium Percarbonate — cleanest bleach chemistry</w:t>
            </w:r>
          </w:p>
          <w:p>
            <w:pPr>
              <w:pStyle w:val="ListParagraph"/>
              <w:numPr>
                <w:ilvl w:val="0"/>
                <w:numId w:val="2"/>
              </w:numPr>
              <w:spacing w:after="60" w:before="60"/>
            </w:pPr>
            <w:r>
              <w:rPr>
                <w:rFonts w:ascii="Arial" w:cs="Arial" w:eastAsia="Arial" w:hAnsi="Arial"/>
                <w:color w:val="333344"/>
                <w:sz w:val="22"/>
                <w:szCs w:val="22"/>
              </w:rPr>
              <w:t xml:space="preserve">Arm &amp; Hammer Super Washing Soda — scrap yard loads only</w:t>
            </w:r>
          </w:p>
        </w:tc>
        <w:tc>
          <w:tcPr>
            <w:tcW w:type="dxa" w:w="3120"/>
            <w:tcBorders>
              <w:top w:val="single" w:color="AA2200" w:sz="1"/>
              <w:left w:val="single" w:color="AA2200" w:sz="1"/>
              <w:bottom w:val="single" w:color="AA2200" w:sz="1"/>
              <w:right w:val="single" w:color="AA2200" w:sz="1"/>
            </w:tcBorders>
            <w:shd w:fill="FFF0F0" w:val="clear"/>
            <w:tcMar>
              <w:top w:type="dxa" w:w="160"/>
              <w:left w:type="dxa" w:w="160"/>
              <w:bottom w:type="dxa" w:w="160"/>
              <w:right w:type="dxa" w:w="160"/>
            </w:tcMar>
          </w:tcPr>
          <w:p>
            <w:r>
              <w:rPr>
                <w:rFonts w:ascii="Arial" w:cs="Arial" w:eastAsia="Arial" w:hAnsi="Arial"/>
                <w:b/>
                <w:bCs/>
                <w:color w:val="AA2200"/>
                <w:sz w:val="22"/>
                <w:szCs w:val="22"/>
              </w:rPr>
              <w:t xml:space="preserve">SKIP THIS</w:t>
            </w:r>
          </w:p>
          <w:p>
            <w:pPr>
              <w:spacing w:after="0" w:before="60"/>
            </w:pPr>
          </w:p>
          <w:p>
            <w:pPr>
              <w:pStyle w:val="ListParagraph"/>
              <w:numPr>
                <w:ilvl w:val="0"/>
                <w:numId w:val="2"/>
              </w:numPr>
              <w:spacing w:after="60" w:before="60"/>
            </w:pPr>
            <w:r>
              <w:rPr>
                <w:rFonts w:ascii="Arial" w:cs="Arial" w:eastAsia="Arial" w:hAnsi="Arial"/>
                <w:color w:val="333344"/>
                <w:sz w:val="22"/>
                <w:szCs w:val="22"/>
              </w:rPr>
              <w:t xml:space="preserve">Gain — fragrance budget over enzyme budget</w:t>
            </w:r>
          </w:p>
          <w:p>
            <w:pPr>
              <w:pStyle w:val="ListParagraph"/>
              <w:numPr>
                <w:ilvl w:val="0"/>
                <w:numId w:val="2"/>
              </w:numPr>
              <w:spacing w:after="60" w:before="60"/>
            </w:pPr>
            <w:r>
              <w:rPr>
                <w:rFonts w:ascii="Arial" w:cs="Arial" w:eastAsia="Arial" w:hAnsi="Arial"/>
                <w:color w:val="333344"/>
                <w:sz w:val="22"/>
                <w:szCs w:val="22"/>
              </w:rPr>
              <w:t xml:space="preserve">Castile soap — hard water disaster</w:t>
            </w:r>
          </w:p>
          <w:p>
            <w:pPr>
              <w:pStyle w:val="ListParagraph"/>
              <w:numPr>
                <w:ilvl w:val="0"/>
                <w:numId w:val="2"/>
              </w:numPr>
              <w:spacing w:after="60" w:before="60"/>
            </w:pPr>
            <w:r>
              <w:rPr>
                <w:rFonts w:ascii="Arial" w:cs="Arial" w:eastAsia="Arial" w:hAnsi="Arial"/>
                <w:color w:val="333344"/>
                <w:sz w:val="22"/>
                <w:szCs w:val="22"/>
              </w:rPr>
              <w:t xml:space="preserve">Essential oil "detergents" — no cleaning chemistry</w:t>
            </w:r>
          </w:p>
          <w:p>
            <w:pPr>
              <w:pStyle w:val="ListParagraph"/>
              <w:numPr>
                <w:ilvl w:val="0"/>
                <w:numId w:val="2"/>
              </w:numPr>
              <w:spacing w:after="60" w:before="60"/>
            </w:pPr>
            <w:r>
              <w:rPr>
                <w:rFonts w:ascii="Arial" w:cs="Arial" w:eastAsia="Arial" w:hAnsi="Arial"/>
                <w:color w:val="333344"/>
                <w:sz w:val="22"/>
                <w:szCs w:val="22"/>
              </w:rPr>
              <w:t xml:space="preserve">Baking soda + vinegar together — they cancel each other out</w:t>
            </w:r>
          </w:p>
          <w:p>
            <w:pPr>
              <w:pStyle w:val="ListParagraph"/>
              <w:numPr>
                <w:ilvl w:val="0"/>
                <w:numId w:val="2"/>
              </w:numPr>
              <w:spacing w:after="60" w:before="60"/>
            </w:pPr>
            <w:r>
              <w:rPr>
                <w:rFonts w:ascii="Arial" w:cs="Arial" w:eastAsia="Arial" w:hAnsi="Arial"/>
                <w:color w:val="333344"/>
                <w:sz w:val="22"/>
                <w:szCs w:val="22"/>
              </w:rPr>
              <w:t xml:space="preserve">Dryer sheets — quaternary ammonium wax film</w:t>
            </w:r>
          </w:p>
        </w:tc>
        <w:tc>
          <w:tcPr>
            <w:tcW w:type="dxa" w:w="3120"/>
            <w:tcBorders>
              <w:top w:val="single" w:color="B07800" w:sz="1"/>
              <w:left w:val="single" w:color="B07800" w:sz="1"/>
              <w:bottom w:val="single" w:color="B07800" w:sz="1"/>
              <w:right w:val="single" w:color="B07800" w:sz="1"/>
            </w:tcBorders>
            <w:shd w:fill="FFF8E6" w:val="clear"/>
            <w:tcMar>
              <w:top w:type="dxa" w:w="160"/>
              <w:left w:type="dxa" w:w="160"/>
              <w:bottom w:type="dxa" w:w="160"/>
              <w:right w:type="dxa" w:w="160"/>
            </w:tcMar>
          </w:tcPr>
          <w:p>
            <w:r>
              <w:rPr>
                <w:rFonts w:ascii="Arial" w:cs="Arial" w:eastAsia="Arial" w:hAnsi="Arial"/>
                <w:b/>
                <w:bCs/>
                <w:color w:val="B07800"/>
                <w:sz w:val="22"/>
                <w:szCs w:val="22"/>
              </w:rPr>
              <w:t xml:space="preserve">EYES OPEN</w:t>
            </w:r>
          </w:p>
          <w:p>
            <w:pPr>
              <w:spacing w:after="0" w:before="60"/>
            </w:pPr>
          </w:p>
          <w:p>
            <w:pPr>
              <w:pStyle w:val="ListParagraph"/>
              <w:numPr>
                <w:ilvl w:val="0"/>
                <w:numId w:val="2"/>
              </w:numPr>
              <w:spacing w:after="60" w:before="60"/>
            </w:pPr>
            <w:r>
              <w:rPr>
                <w:rFonts w:ascii="Arial" w:cs="Arial" w:eastAsia="Arial" w:hAnsi="Arial"/>
                <w:color w:val="333344"/>
                <w:sz w:val="22"/>
                <w:szCs w:val="22"/>
              </w:rPr>
              <w:t xml:space="preserve">Borax — useful, but EU-banned for repro toxicity data. Handle carefully. Never for baby laundry.</w:t>
            </w:r>
          </w:p>
          <w:p>
            <w:pPr>
              <w:pStyle w:val="ListParagraph"/>
              <w:numPr>
                <w:ilvl w:val="0"/>
                <w:numId w:val="2"/>
              </w:numPr>
              <w:spacing w:after="60" w:before="60"/>
            </w:pPr>
            <w:r>
              <w:rPr>
                <w:rFonts w:ascii="Arial" w:cs="Arial" w:eastAsia="Arial" w:hAnsi="Arial"/>
                <w:color w:val="333344"/>
                <w:sz w:val="22"/>
                <w:szCs w:val="22"/>
              </w:rPr>
              <w:t xml:space="preserve">Seventh Generation / Method — eco claims hold up chemically. Cleaning performance trades off against Persil.</w:t>
            </w:r>
          </w:p>
          <w:p>
            <w:pPr>
              <w:pStyle w:val="ListParagraph"/>
              <w:numPr>
                <w:ilvl w:val="0"/>
                <w:numId w:val="2"/>
              </w:numPr>
              <w:spacing w:after="60" w:before="60"/>
            </w:pPr>
            <w:r>
              <w:rPr>
                <w:rFonts w:ascii="Arial" w:cs="Arial" w:eastAsia="Arial" w:hAnsi="Arial"/>
                <w:color w:val="333344"/>
                <w:sz w:val="22"/>
                <w:szCs w:val="22"/>
              </w:rPr>
              <w:t xml:space="preserve">Dirty Labs — worth it for permanent activewear funk. Not for standard laundry at that price.</w:t>
            </w:r>
          </w:p>
        </w:tc>
      </w:tr>
    </w:tbl>
    <w:p>
      <w:pPr>
        <w:spacing w:after="0" w:before="200"/>
      </w:pPr>
    </w:p>
    <w:p>
      <w:pPr>
        <w:spacing w:after="0" w:before="0"/>
        <w:jc w:val="center"/>
      </w:pPr>
      <w:r>
        <w:rPr>
          <w:rFonts w:ascii="Courier New" w:cs="Courier New" w:eastAsia="Courier New" w:hAnsi="Courier New"/>
          <w:i/>
          <w:iCs/>
          <w:color w:val="667788"/>
          <w:sz w:val="18"/>
          <w:szCs w:val="18"/>
        </w:rPr>
        <w:t xml:space="preserve">The Molecular Laundry Lab · Research Reference · Burlington, Ontario</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4EC" w:sz="4"/>
      </w:pBdr>
      <w:jc w:val="center"/>
    </w:pPr>
    <w:r>
      <w:rPr>
        <w:rFonts w:ascii="Arial" w:cs="Arial" w:eastAsia="Arial" w:hAnsi="Arial"/>
        <w:color w:val="667788"/>
        <w:sz w:val="18"/>
        <w:szCs w:val="18"/>
      </w:rPr>
      <w:t xml:space="preserve">Burlington, Ontario · Research Reference · Verify claims before publishing · Page </w:t>
    </w:r>
    <w:r>
      <w:rPr>
        <w:rFonts w:ascii="Arial" w:cs="Arial" w:eastAsia="Arial" w:hAnsi="Arial"/>
        <w:color w:val="6677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4EC" w:sz="4"/>
      </w:pBdr>
    </w:pPr>
    <w:r>
      <w:rPr>
        <w:rFonts w:ascii="Courier New" w:cs="Courier New" w:eastAsia="Courier New" w:hAnsi="Courier New"/>
        <w:color w:val="0099BB"/>
        <w:sz w:val="18"/>
        <w:szCs w:val="18"/>
      </w:rPr>
      <w:t xml:space="preserve">⚖  The Molecular Laundry Lab — Research Edition  ·  PhD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abstractNum w:abstractNumId="3" w15:restartNumberingAfterBreak="0">
    <w:multiLevelType w:val="hybridMultilevel"/>
    <w:lvl w:ilvl="0" w15:tentative="1">
      <w:start w:val="1"/>
      <w:numFmt w:val="decimal"/>
      <w:lvlText w:val="%1."/>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80" w:before="240"/>
      <w:outlineLvl w:val="1"/>
    </w:pPr>
    <w:rPr>
      <w:rFonts w:ascii="Arial" w:cs="Arial" w:eastAsia="Arial" w:hAnsi="Arial"/>
      <w:b/>
      <w:bCs/>
      <w:color w:val="0099BB"/>
      <w:sz w:val="28"/>
      <w:szCs w:val="28"/>
    </w:rPr>
  </w:style>
  <w:style w:type="paragraph" w:styleId="Heading3">
    <w:name w:val="Heading 3"/>
    <w:basedOn w:val="Normal"/>
    <w:next w:val="Normal"/>
    <w:qFormat/>
    <w:pPr>
      <w:spacing w:after="60" w:before="180"/>
      <w:outlineLvl w:val="2"/>
    </w:pPr>
    <w:rPr>
      <w:rFonts w:ascii="Arial" w:cs="Arial" w:eastAsia="Arial" w:hAnsi="Arial"/>
      <w:b/>
      <w:bCs/>
      <w:color w:val="0A162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2026-05-19T23:13:36.141Z</dcterms:created>
  <dcterms:modified xsi:type="dcterms:W3CDTF">2026-05-19T23:13:36.153Z</dcterms:modified>
</cp:coreProperties>
</file>

<file path=docProps/custom.xml><?xml version="1.0" encoding="utf-8"?>
<Properties xmlns="http://schemas.openxmlformats.org/officeDocument/2006/custom-properties" xmlns:vt="http://schemas.openxmlformats.org/officeDocument/2006/docPropsVTypes"/>
</file>